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29</w:t>
      </w:r>
    </w:p>
    <w:p>
      <w:r>
        <w:t>Bundesgericht (BGE), 1965-05-13, DE</w:t>
      </w:r>
    </w:p>
    <w:p>
      <w:r>
        <w:rPr>
          <w:b/>
        </w:rPr>
        <w:t xml:space="preserve">Quelle: </w:t>
      </w:r>
      <w:r>
        <w:t>https://mcp.opencaselaw.ch/entscheid/bge_91 III 29</w:t>
      </w:r>
    </w:p>
    <w:p>
      <w:r>
        <w:t>FR: ATF 91 III 29</w:t>
      </w:r>
    </w:p>
    <w:p>
      <w:r>
        <w:t>IT: DTF 91 III 29</w:t>
      </w:r>
    </w:p>
    <w:p>
      <w:pPr>
        <w:pStyle w:val="Heading2"/>
      </w:pPr>
      <w:r>
        <w:t>Regeste</w:t>
      </w:r>
    </w:p>
    <w:p>
      <w:r>
        <w:t>Regeste 1. Nach Art. 17 SchKG anfechtbare Verfügungen: - eine nachträgliche Ausdehnung des Arrestbeschlages durch das Betreibungsamt (Erw. 1); - die Ablehnung eines Gesuches um Zustellung der "definitiven" Arresturkunde (Erw. 2). 2. In der Arresturkunde ausdrücklich erklärte Ablehnung der Arrestierung weiterer Gegenstände, die unter die allgemeine Umschreibung derselben im Arrestbefehl fallen würden: - diese Ablehnung wird nach unbenutztem Ablauf der Beschwerdefrist rechtskräftig (Erw. 4); - sie kann, wenn eindeutig erklärt, auch nicht als "Rechtsverweigerung" noch später angefochten werden (Erw. 5).</w:t>
      </w:r>
    </w:p>
    <w:p>
      <w:pPr>
        <w:pStyle w:val="Heading2"/>
      </w:pPr>
      <w:r>
        <w:t>Erwägungen</w:t>
      </w:r>
    </w:p>
    <w:p>
      <w:r>
        <w:rPr>
          <w:b/>
        </w:rPr>
        <w:t>E. 1</w:t>
      </w:r>
    </w:p>
    <w:p>
      <w:r>
        <w:t>Die Ansicht der Vorinstanz, der Nachtrag zur Arresturkunde gebe nur die Hauptpunkte eines Schreibens der Eurofima AG wieder und enthalte ferner eine blosse Mitteilung über die allfällige Einleitung eines Widerspruchsverfahrens, er bedeute aber keine neue Verfügung hinsichtlich des Arrestvollzuges, erweckt Bedenken. Durch diesen Nachtrag wurde der Kreis der arrestierten Gegenstände erweitert auf die Erträgnisse derjenigen Eurofima-Aktien der Arrestschuldnerin, die als solche, weil sie sich nicht wie die zwei Pflichtaktien im Besitz der Eurofima AG befinden, nicht arrestiert worden sind. Eine solche Erweiterung des Arrestbeschlages gilt nicht schon ohne weiteres dann, wenn ein Dritter (wie hier die Eurofima AG) sie gelten lassen will, sondern nur, wenn das Betreibungsamt sie anordnet, wie denn der Arrestvollzug in seiner Gesamtheit auf der Verfügung des damit beauftragten Amtes beruht. Kommt somit dem Nachtrag zur Arresturkunde der Charakter einer amtlichen Verfügung zu, so konnte er an und für sich auch den Gegenstand einer Beschwerde bilden. Er fällt aber für das vorliegende Beschwerdeverfahren ausser Betracht, weil er zum Vorteil der BGE 91 III 29 S. 34 Gläubigerin gereichte und daher von dieser natürlich nicht angefochten wurde.</w:t>
      </w:r>
    </w:p>
    <w:p>
      <w:r>
        <w:rPr>
          <w:b/>
        </w:rPr>
        <w:t>E. 2</w:t>
      </w:r>
    </w:p>
    <w:p>
      <w:r>
        <w:t>Als Gegenstand der bei der Vorinstanz eingereichten Beschwerde erweist sich vielmehr der zweite Teil des Begleitschreibens, mit dem das Betreibungsamt jenen Nachtrag an die Gläubigerin gelangen liess. Darin erwiderte das Amt auf das Gesuch der Gläubigerin um Zusendung der "definitiven Arresturkunde", die definitive Abschrift der Arresturkunde sei ihrem Anwalte bereits am 26. Februar persönlich ausgehändigt worden. Das bedeutete eine Ablehnung jenes Gesuches mit der Begründung, schon die Arresturkunde vom 22./26. Februar habe den Arrestvollzug definitiv abgeschlossen, weshalb es dabei sein Bewenden haben müsse. Die gegen diese Ablehnung des Gesuches vom 17. März 1965 geführte Beschwerde (die sich denn auch ausdrücklich gegen die in der Sendung vom 24. März 1965 enthaltene Verfügung richtete; Seite 6 unten der Beschwerdeschrift) war an und für sich rechtzeitig. Die Vorinstanz hätte deshalb darauf eintreten sollen.</w:t>
      </w:r>
    </w:p>
    <w:p>
      <w:r>
        <w:rPr>
          <w:b/>
        </w:rPr>
        <w:t>E. 3</w:t>
      </w:r>
    </w:p>
    <w:p>
      <w:r>
        <w:t>Das will jedoch nicht heissen, es sei in diesem Beschwerdeverfahren um die Beurteilung der von der Gläubigerin aufgeworfenen Frage gegangen, ob im Rahmen der Angaben des Arrestbefehls Nr. 25/65 noch weitere als die in der Arresturkunde vom 22./26. Februar 1965 aufgeführten Gegenstände (mit dem die Erträgnisse in grösserem Umfang einbeziehenden Nachtrag) zu arrestieren seien. Vielmehr war - zunächst - nur der vom Betreibungsamt ausgesprochene Ablehnungsgrund zu überprüfen, der die Rechtskraft jener am 26. Februar versandten (und dem Anwalt der Rekurrentin persönlich ausgehändigten) Arresturkunde zur Geltung brachte. Gerade dies aber hat die Vorinstanz getan; ihr Nichteintretensentscheid beruht im wesentlichen auf der Erwägung, in jener Arresturkunde habe das Betreibungsamt den Kreis der arrestierten Gegenstände auf Grund der Auskünfte der Eurofima AG und der Generaldirektion der Interfrigo festgelegt. Diesen Arrestvollzug habe die Gläubigerin nicht binnen gesetzlicher Frist angefochten; er sei daher rechtskräftig geworden und die erst am 31. März /2. April geführte Beschwerde nicht geeignet, die Frage zur Entscheidung zu bringen, ob dem Arrestbefehl in weiterem Umfang hätte entsprochen werden können und sollen. BGE 91 III 29 S. 35 Angesichts dieser Begründung des angefochtenen Entscheides ist es bedeutungslos, dass er auf Nichteintreten statt auf Abweisung der Beschwerde lautet. Insofern übrigens, als die Beschwerdebegehren über das vom Betreibungsamt abgelehnte Gesuch hinausgingen, war das Nichteintreten, vom Standpunkt der Vorinstanz aus gesehen, gerechtfertigt.</w:t>
      </w:r>
    </w:p>
    <w:p>
      <w:r>
        <w:rPr>
          <w:b/>
        </w:rPr>
        <w:t>E. 4</w:t>
      </w:r>
    </w:p>
    <w:p>
      <w:r>
        <w:t>In der Sache selbst ist dem Betreibungsamt und der Vorinstanz darin beizustimmen, dass die Arresturkunde vom 22./26. Februar 1965 den Arrestbeschlag auf die darin verzeichneten Gegenstände begrenzt und zudem eine Arrestierung weiteren Vermögens durch den Hinweis auf die negativen Auskünfte der Eurofima AG und der Generaldirektion der Interfrigo ausdrücklich abgelehnt hat. Aus dem Briefwechsel zwischen dem Anwalt der Gläubigerin und dem Betreibungsamt lässt sich schliessen, dass diesem bei Abfassung der Arresturkunde die Argumente der Gläubigerin bereits bekannt waren (wie denn ein Schreiben der Gläubigerin vom 24. Februar vorlag und es auch zu mündlichen Besprechungen gekommen war). Deshalb leitete denn auch der Anwalt der Gläubigerin seine nochmaligen Darlegungen im Briefe vom 26. Februar an das Amt mit den Worten ein: "Ich halte (daran) fest ...". Im übrigen ergibt sich aus dem Schluss desselben Briefes, dass er sich des rechtlichen Charakters der Arresturkunde und der drohenden Rechtskraft derselben bewusst war. Sprach er doch die Bitte aus, das Betreibungsamt möge "innerhalb der 10-tägigen Beschwerdefrist seit Zustellung Ihres Schreibens vom 26. ds." Schritte zur Sicherung der Ansprüche der Gläubigerin unternehmen (oben B der Tatsachen, am Ende). Er spielte damit auf die Befugnis des Betreibungsamtes an, auf eine Verfügung zurückzukommen, solange sie nicht rechtskräftig ist (vgl. BGE 76 III 87 ; FRITZSCHE, SchK I 45/46). Die Arresturkunde vom 22./26. Februar 1965 ist dann in der Tat rechtskräftig geworden. Der Umstand, dass das Betreibungsamt Eingaben der Gläubigerin zur Stellungnahme an die beiden Gesellschaften weiterleitete, vermochte daran nichts zu ändern. Und wenn das Amt in einem speziellen Punkte (hinsichtlich der Erträgnisse des Besitzes der Arrestschuldnerin an Eurofima-Aktien) dann doch den Arrestbeschlag erweiterte, so folgt daraus nicht, es sei noch in anderer Beziehung eine Ergänzung der Arresturkunde ins Auge zu fassen. Dies um so weniger, als das Betreibungsamt die Zulässigkeit BGE 91 III 29 S. 36 jener erweiterten Ertragsarrestierung nachträglich bezweifelt hat.</w:t>
      </w:r>
    </w:p>
    <w:p>
      <w:r>
        <w:rPr>
          <w:b/>
        </w:rPr>
        <w:t>E. 5</w:t>
      </w:r>
    </w:p>
    <w:p>
      <w:r>
        <w:t>Mit Recht hat endlich die Vorinstanz den Vorwurf einer Rechtsverweigerung angesichts der Eindeutigkeit der Arresturkunde abgelehnt ( BGE 85 III 8 /9). Insbesondere die Frage, ob bei stark vinkulierten Namenaktien wie denjenigen der Eurofima AG die "Beteiligung" an einer Aktiengesellschaft getrennt von den Aktientiteln, und zwar am Gesellschaftssitz, arrestiert werden könne (abweichend von der Rechtsprechung betreffend die Arrestierung von Inhaberaktien, BGE 88 III 142 /43), konnte daher mit dem Gesuch vom 17. März und mit der hernach eingereichten Beschwerde nicht mehr aufgeworfen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